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48" w:rsidRPr="001D0B52" w:rsidRDefault="001D0B52">
      <w:pPr>
        <w:spacing w:before="22" w:line="272" w:lineRule="exact"/>
        <w:textAlignment w:val="baseline"/>
        <w:rPr>
          <w:rFonts w:ascii="Arial" w:eastAsia="Verdana" w:hAnsi="Arial" w:cs="Arial"/>
          <w:b/>
          <w:color w:val="757B82"/>
          <w:sz w:val="24"/>
          <w:szCs w:val="24"/>
          <w:lang w:val="de-DE"/>
        </w:rPr>
      </w:pPr>
      <w:r w:rsidRPr="001D0B52">
        <w:rPr>
          <w:rFonts w:ascii="Arial" w:eastAsia="Verdana" w:hAnsi="Arial" w:cs="Arial"/>
          <w:b/>
          <w:color w:val="757B82"/>
          <w:sz w:val="24"/>
          <w:szCs w:val="24"/>
          <w:lang w:val="de-DE"/>
        </w:rPr>
        <w:t>Gliederung Vorhabenbeschreibung</w:t>
      </w:r>
    </w:p>
    <w:p w:rsidR="00650D48" w:rsidRDefault="001D0B52">
      <w:pPr>
        <w:spacing w:before="225" w:line="269" w:lineRule="exact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Die Vorhabenbeschreibung ist grundlegender Bestandte</w:t>
      </w:r>
      <w:bookmarkStart w:id="0" w:name="_GoBack"/>
      <w:bookmarkEnd w:id="0"/>
      <w:r w:rsidRPr="006F6F5B">
        <w:rPr>
          <w:rFonts w:ascii="Arial" w:eastAsia="Verdana" w:hAnsi="Arial" w:cs="Arial"/>
          <w:color w:val="363636"/>
          <w:lang w:val="de-DE"/>
        </w:rPr>
        <w:t>il des Antrages und beschreibt die Inhalte und den Aufwand für das geplante Vorhaben. Die Grundlage für die Vorhabenbeschreibung bildet die positiv bewertete Projektskizze. Es ist folgende Gliederung zu</w:t>
      </w:r>
      <w:r w:rsidR="00FC3E2B" w:rsidRPr="006F6F5B">
        <w:rPr>
          <w:rFonts w:ascii="Arial" w:eastAsia="Verdana" w:hAnsi="Arial" w:cs="Arial"/>
          <w:color w:val="363636"/>
          <w:lang w:val="de-DE"/>
        </w:rPr>
        <w:t xml:space="preserve"> </w:t>
      </w:r>
      <w:r w:rsidRPr="006F6F5B">
        <w:rPr>
          <w:rFonts w:ascii="Arial" w:eastAsia="Verdana" w:hAnsi="Arial" w:cs="Arial"/>
          <w:color w:val="363636"/>
          <w:lang w:val="de-DE"/>
        </w:rPr>
        <w:t>be</w:t>
      </w:r>
      <w:r w:rsidRPr="006F6F5B">
        <w:rPr>
          <w:rFonts w:ascii="Arial" w:eastAsia="Verdana" w:hAnsi="Arial" w:cs="Arial"/>
          <w:color w:val="363636"/>
          <w:lang w:val="de-DE"/>
        </w:rPr>
        <w:t>achten:</w:t>
      </w:r>
    </w:p>
    <w:p w:rsidR="006F6F5B" w:rsidRPr="006F6F5B" w:rsidRDefault="006F6F5B">
      <w:pPr>
        <w:spacing w:before="225" w:line="269" w:lineRule="exact"/>
        <w:textAlignment w:val="baseline"/>
        <w:rPr>
          <w:rFonts w:ascii="Arial" w:eastAsia="Verdana" w:hAnsi="Arial" w:cs="Arial"/>
          <w:color w:val="363636"/>
          <w:lang w:val="de-DE"/>
        </w:rPr>
      </w:pPr>
    </w:p>
    <w:p w:rsidR="00650D48" w:rsidRPr="006F6F5B" w:rsidRDefault="001D0B52" w:rsidP="006F6F5B">
      <w:pPr>
        <w:pStyle w:val="Listenabsatz"/>
        <w:numPr>
          <w:ilvl w:val="0"/>
          <w:numId w:val="5"/>
        </w:numPr>
        <w:spacing w:before="65" w:line="204" w:lineRule="exact"/>
        <w:ind w:left="426" w:hanging="426"/>
        <w:textAlignment w:val="baseline"/>
        <w:rPr>
          <w:rFonts w:ascii="Arial" w:eastAsia="Verdana" w:hAnsi="Arial" w:cs="Arial"/>
          <w:color w:val="363636"/>
          <w:spacing w:val="-1"/>
          <w:lang w:val="de-DE"/>
        </w:rPr>
      </w:pPr>
      <w:r w:rsidRPr="006F6F5B">
        <w:rPr>
          <w:rFonts w:ascii="Arial" w:eastAsia="Verdana" w:hAnsi="Arial" w:cs="Arial"/>
          <w:color w:val="363636"/>
          <w:spacing w:val="-1"/>
          <w:lang w:val="de-DE"/>
        </w:rPr>
        <w:t>Ziele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120" w:line="204" w:lineRule="exact"/>
        <w:ind w:left="720" w:hanging="295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Gesamtziel des Vorhabens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34" w:line="237" w:lineRule="exact"/>
        <w:ind w:left="720" w:right="648" w:hanging="294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Bezug des Vorhabens zu den förderpolitischen Zielen (unter Nennung der Projekteffekte in Bezug auf den Nutzen für die deutsche Hafenwirtschaft insgesamt sowie für Umwelt und Allgemeinheit)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34" w:line="235" w:lineRule="exact"/>
        <w:ind w:left="720" w:right="576" w:hanging="294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Wissenschaftliche und/ode</w:t>
      </w:r>
      <w:r w:rsidRPr="006F6F5B">
        <w:rPr>
          <w:rFonts w:ascii="Arial" w:eastAsia="Verdana" w:hAnsi="Arial" w:cs="Arial"/>
          <w:color w:val="363636"/>
          <w:lang w:val="de-DE"/>
        </w:rPr>
        <w:t>r technische Arbeitsziele des Vorhabens (auch als quantitative und/oder qualitative Effekte des Projektes beziffern)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after="240" w:line="205" w:lineRule="exact"/>
        <w:ind w:left="720" w:hanging="295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Angabe relevanter Indikatoren für die Zielerreichung im Verbund mit Ist und Soll-Werten</w:t>
      </w:r>
    </w:p>
    <w:p w:rsidR="006F6F5B" w:rsidRPr="006F6F5B" w:rsidRDefault="001D0B52" w:rsidP="006F6F5B">
      <w:pPr>
        <w:pStyle w:val="Listenabsatz"/>
        <w:numPr>
          <w:ilvl w:val="0"/>
          <w:numId w:val="5"/>
        </w:numPr>
        <w:tabs>
          <w:tab w:val="left" w:pos="426"/>
        </w:tabs>
        <w:spacing w:before="150" w:line="205" w:lineRule="exact"/>
        <w:ind w:left="426" w:hanging="426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Stand der Wissenschaft und Technik; bisherige A</w:t>
      </w:r>
      <w:r w:rsidRPr="006F6F5B">
        <w:rPr>
          <w:rFonts w:ascii="Arial" w:eastAsia="Verdana" w:hAnsi="Arial" w:cs="Arial"/>
          <w:color w:val="363636"/>
          <w:lang w:val="de-DE"/>
        </w:rPr>
        <w:t>rbeiten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120" w:line="205" w:lineRule="exact"/>
        <w:ind w:left="720" w:hanging="295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Stand der Wissenschaft und Technik (einschließlich alternative Lösungen, der Ergebnisverwertung entgegenstehende Rechte, Informationsrecherchen)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after="240" w:line="205" w:lineRule="exact"/>
        <w:ind w:left="720" w:hanging="295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Bisherige Arbeiten des Antragstellers</w:t>
      </w:r>
    </w:p>
    <w:p w:rsidR="00650D48" w:rsidRPr="006F6F5B" w:rsidRDefault="001D0B52" w:rsidP="006F6F5B">
      <w:pPr>
        <w:pStyle w:val="Listenabsatz"/>
        <w:numPr>
          <w:ilvl w:val="0"/>
          <w:numId w:val="5"/>
        </w:numPr>
        <w:spacing w:before="156" w:line="204" w:lineRule="exact"/>
        <w:ind w:left="426" w:hanging="426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Ausführliche Beschreibung des Arbeitsplans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120" w:line="235" w:lineRule="exact"/>
        <w:ind w:left="720" w:right="578" w:hanging="295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Arbeitspaketbeschreibung, vorhabenbezogene Ressourcenplanung</w:t>
      </w:r>
      <w:r w:rsidRPr="006F6F5B">
        <w:rPr>
          <w:rFonts w:ascii="Arial" w:eastAsia="Verdana" w:hAnsi="Arial" w:cs="Arial"/>
          <w:color w:val="0000FF"/>
          <w:lang w:val="de-DE"/>
        </w:rPr>
        <w:t xml:space="preserve"> </w:t>
      </w:r>
      <w:hyperlink r:id="rId7">
        <w:r w:rsidRPr="006F6F5B">
          <w:rPr>
            <w:rFonts w:ascii="Arial" w:eastAsia="Verdana" w:hAnsi="Arial" w:cs="Arial"/>
            <w:color w:val="0000FF"/>
            <w:u w:val="single"/>
            <w:lang w:val="de-DE"/>
          </w:rPr>
          <w:t>(</w:t>
        </w:r>
      </w:hyperlink>
      <w:r w:rsidRPr="006F6F5B">
        <w:rPr>
          <w:rFonts w:ascii="Arial" w:eastAsia="Verdana" w:hAnsi="Arial" w:cs="Arial"/>
          <w:color w:val="0000FF"/>
          <w:u w:val="single"/>
          <w:lang w:val="de-DE"/>
        </w:rPr>
        <w:t>Muster als Download auf der IHATEC-Homepage)</w:t>
      </w:r>
      <w:r w:rsidRPr="006F6F5B">
        <w:rPr>
          <w:rFonts w:ascii="Arial" w:eastAsia="Verdana" w:hAnsi="Arial" w:cs="Arial"/>
          <w:color w:val="363636"/>
          <w:u w:val="single"/>
          <w:lang w:val="de-DE"/>
        </w:rPr>
        <w:t xml:space="preserve"> </w:t>
      </w:r>
    </w:p>
    <w:p w:rsidR="006F6F5B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after="240" w:line="205" w:lineRule="exact"/>
        <w:ind w:left="720" w:hanging="294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Meilensteinplanung</w:t>
      </w:r>
    </w:p>
    <w:p w:rsidR="00650D48" w:rsidRPr="006F6F5B" w:rsidRDefault="001D0B52" w:rsidP="006F6F5B">
      <w:pPr>
        <w:pStyle w:val="Listenabsatz"/>
        <w:numPr>
          <w:ilvl w:val="0"/>
          <w:numId w:val="5"/>
        </w:numPr>
        <w:spacing w:before="96" w:line="264" w:lineRule="exact"/>
        <w:ind w:left="426" w:right="1800" w:hanging="426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Verwertungsplan (partnerspezifisch und damit ggf. nicht Teil der gemeinsamen Vorhabenbeschreibung)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120" w:line="204" w:lineRule="exact"/>
        <w:ind w:left="720" w:hanging="295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Wirtschaftliche Erfolgsaussichten</w:t>
      </w:r>
    </w:p>
    <w:p w:rsidR="00650D48" w:rsidRPr="006F6F5B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5" w:line="204" w:lineRule="exact"/>
        <w:ind w:left="720" w:hanging="294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Wissenschaftliche und/oder technische Erfolgsaussichten</w:t>
      </w:r>
    </w:p>
    <w:p w:rsidR="00650D48" w:rsidRDefault="001D0B52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line="205" w:lineRule="exact"/>
        <w:ind w:left="720" w:hanging="294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Wissenschaftliche und wirtschaftliche Anschlussfähigkeit</w:t>
      </w:r>
    </w:p>
    <w:p w:rsidR="006F6F5B" w:rsidRPr="006F6F5B" w:rsidRDefault="006F6F5B" w:rsidP="006F6F5B">
      <w:pPr>
        <w:tabs>
          <w:tab w:val="left" w:pos="504"/>
          <w:tab w:val="left" w:pos="720"/>
        </w:tabs>
        <w:spacing w:before="64" w:line="205" w:lineRule="exact"/>
        <w:ind w:left="720"/>
        <w:textAlignment w:val="baseline"/>
        <w:rPr>
          <w:rFonts w:ascii="Arial" w:eastAsia="Verdana" w:hAnsi="Arial" w:cs="Arial"/>
          <w:color w:val="363636"/>
          <w:lang w:val="de-DE"/>
        </w:rPr>
      </w:pPr>
    </w:p>
    <w:p w:rsidR="00650D48" w:rsidRDefault="001D0B52" w:rsidP="006F6F5B">
      <w:pPr>
        <w:pStyle w:val="Listenabsatz"/>
        <w:numPr>
          <w:ilvl w:val="0"/>
          <w:numId w:val="5"/>
        </w:numPr>
        <w:spacing w:before="156" w:line="204" w:lineRule="exact"/>
        <w:ind w:left="426" w:hanging="426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Arbeitsteilung/Zusammenarbeit mit Dritten</w:t>
      </w:r>
    </w:p>
    <w:p w:rsidR="006F6F5B" w:rsidRDefault="006F6F5B" w:rsidP="006F6F5B">
      <w:pPr>
        <w:pStyle w:val="Listenabsatz"/>
        <w:spacing w:before="156" w:line="204" w:lineRule="exact"/>
        <w:ind w:left="426"/>
        <w:textAlignment w:val="baseline"/>
        <w:rPr>
          <w:rFonts w:ascii="Arial" w:eastAsia="Verdana" w:hAnsi="Arial" w:cs="Arial"/>
          <w:color w:val="363636"/>
          <w:lang w:val="de-DE"/>
        </w:rPr>
      </w:pPr>
    </w:p>
    <w:p w:rsidR="006F6F5B" w:rsidRDefault="006F6F5B" w:rsidP="006F6F5B">
      <w:pPr>
        <w:pStyle w:val="Listenabsatz"/>
        <w:numPr>
          <w:ilvl w:val="0"/>
          <w:numId w:val="5"/>
        </w:numPr>
        <w:spacing w:before="156" w:line="204" w:lineRule="exact"/>
        <w:ind w:left="426" w:hanging="426"/>
        <w:textAlignment w:val="baseline"/>
        <w:rPr>
          <w:rFonts w:ascii="Arial" w:eastAsia="Verdana" w:hAnsi="Arial" w:cs="Arial"/>
          <w:color w:val="363636"/>
          <w:lang w:val="de-DE"/>
        </w:rPr>
      </w:pPr>
      <w:r>
        <w:rPr>
          <w:rFonts w:ascii="Arial" w:eastAsia="Verdana" w:hAnsi="Arial" w:cs="Arial"/>
          <w:color w:val="363636"/>
          <w:lang w:val="de-DE"/>
        </w:rPr>
        <w:t>Notwendigkeit der Zuwendung</w:t>
      </w:r>
    </w:p>
    <w:p w:rsidR="006F6F5B" w:rsidRDefault="006F6F5B" w:rsidP="006F6F5B">
      <w:pPr>
        <w:spacing w:before="156" w:line="204" w:lineRule="exact"/>
        <w:textAlignment w:val="baseline"/>
        <w:rPr>
          <w:rFonts w:ascii="Arial" w:eastAsia="Verdana" w:hAnsi="Arial" w:cs="Arial"/>
          <w:color w:val="363636"/>
          <w:lang w:val="de-DE"/>
        </w:rPr>
      </w:pPr>
    </w:p>
    <w:p w:rsidR="006F6F5B" w:rsidRPr="006F6F5B" w:rsidRDefault="006F6F5B" w:rsidP="006F6F5B">
      <w:pPr>
        <w:spacing w:before="156" w:line="204" w:lineRule="exact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Planungshilfen als Anlagen:</w:t>
      </w:r>
    </w:p>
    <w:p w:rsidR="006F6F5B" w:rsidRPr="006F6F5B" w:rsidRDefault="006F6F5B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line="205" w:lineRule="exact"/>
        <w:ind w:left="720" w:hanging="294"/>
        <w:textAlignment w:val="baseline"/>
        <w:rPr>
          <w:rFonts w:ascii="Arial" w:eastAsia="Verdana" w:hAnsi="Arial" w:cs="Arial"/>
          <w:color w:val="0000FF"/>
          <w:u w:val="single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 xml:space="preserve">Arbeitsplan-Matrix (mit verschiedenen Personalkategorien, siehe Beispiel) </w:t>
      </w:r>
      <w:r w:rsidRPr="006F6F5B">
        <w:rPr>
          <w:rFonts w:ascii="Arial" w:eastAsia="Verdana" w:hAnsi="Arial" w:cs="Arial"/>
          <w:color w:val="0000FF"/>
          <w:u w:val="single"/>
          <w:lang w:val="de-DE"/>
        </w:rPr>
        <w:t xml:space="preserve">(Muster als Download auf der IHATEC-Homepage) </w:t>
      </w:r>
    </w:p>
    <w:p w:rsidR="006F6F5B" w:rsidRDefault="006F6F5B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line="205" w:lineRule="exact"/>
        <w:ind w:left="720" w:hanging="294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Balkenplan mit Meilensteinen</w:t>
      </w:r>
    </w:p>
    <w:p w:rsidR="006F6F5B" w:rsidRPr="006F6F5B" w:rsidRDefault="006F6F5B" w:rsidP="006F6F5B">
      <w:pPr>
        <w:numPr>
          <w:ilvl w:val="0"/>
          <w:numId w:val="1"/>
        </w:numPr>
        <w:tabs>
          <w:tab w:val="clear" w:pos="504"/>
          <w:tab w:val="left" w:pos="720"/>
        </w:tabs>
        <w:spacing w:before="64" w:line="205" w:lineRule="exact"/>
        <w:ind w:left="720" w:hanging="294"/>
        <w:textAlignment w:val="baseline"/>
        <w:rPr>
          <w:rFonts w:ascii="Arial" w:eastAsia="Verdana" w:hAnsi="Arial" w:cs="Arial"/>
          <w:color w:val="363636"/>
          <w:lang w:val="de-DE"/>
        </w:rPr>
      </w:pPr>
      <w:r w:rsidRPr="006F6F5B">
        <w:rPr>
          <w:rFonts w:ascii="Arial" w:eastAsia="Verdana" w:hAnsi="Arial" w:cs="Arial"/>
          <w:color w:val="363636"/>
          <w:lang w:val="de-DE"/>
        </w:rPr>
        <w:t>ggf. Struktur- / Netzplan</w:t>
      </w:r>
    </w:p>
    <w:p w:rsidR="006F6F5B" w:rsidRPr="006F6F5B" w:rsidRDefault="006F6F5B" w:rsidP="006F6F5B">
      <w:pPr>
        <w:spacing w:before="156" w:line="204" w:lineRule="exact"/>
        <w:jc w:val="both"/>
        <w:textAlignment w:val="baseline"/>
        <w:rPr>
          <w:rFonts w:ascii="Arial" w:eastAsia="Verdana" w:hAnsi="Arial" w:cs="Arial"/>
          <w:color w:val="363636"/>
          <w:lang w:val="de-DE"/>
        </w:rPr>
      </w:pPr>
    </w:p>
    <w:p w:rsidR="006F6F5B" w:rsidRPr="006F6F5B" w:rsidRDefault="006F6F5B" w:rsidP="006F6F5B">
      <w:pPr>
        <w:spacing w:before="156" w:line="204" w:lineRule="exact"/>
        <w:textAlignment w:val="baseline"/>
        <w:rPr>
          <w:rFonts w:ascii="Arial" w:eastAsia="Verdana" w:hAnsi="Arial" w:cs="Arial"/>
          <w:color w:val="363636"/>
          <w:lang w:val="de-DE"/>
        </w:rPr>
      </w:pPr>
    </w:p>
    <w:sectPr w:rsidR="006F6F5B" w:rsidRPr="006F6F5B" w:rsidSect="006F6F5B">
      <w:pgSz w:w="11909" w:h="16838"/>
      <w:pgMar w:top="1400" w:right="1563" w:bottom="1276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5B" w:rsidRDefault="006D035B" w:rsidP="006D035B">
      <w:r>
        <w:separator/>
      </w:r>
    </w:p>
  </w:endnote>
  <w:endnote w:type="continuationSeparator" w:id="0">
    <w:p w:rsidR="006D035B" w:rsidRDefault="006D035B" w:rsidP="006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5B" w:rsidRDefault="006D035B" w:rsidP="006D035B">
      <w:r>
        <w:separator/>
      </w:r>
    </w:p>
  </w:footnote>
  <w:footnote w:type="continuationSeparator" w:id="0">
    <w:p w:rsidR="006D035B" w:rsidRDefault="006D035B" w:rsidP="006D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EA4"/>
    <w:multiLevelType w:val="multilevel"/>
    <w:tmpl w:val="3A36A5CC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363636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439BD"/>
    <w:multiLevelType w:val="multilevel"/>
    <w:tmpl w:val="8B56F20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363636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ED7D35"/>
    <w:multiLevelType w:val="multilevel"/>
    <w:tmpl w:val="5DF8503E"/>
    <w:lvl w:ilvl="0">
      <w:numFmt w:val="upperRoman"/>
      <w:lvlText w:val="%1."/>
      <w:lvlJc w:val="left"/>
      <w:pPr>
        <w:tabs>
          <w:tab w:val="left" w:pos="360"/>
        </w:tabs>
      </w:pPr>
      <w:rPr>
        <w:rFonts w:ascii="Verdana" w:eastAsia="Verdana" w:hAnsi="Verdana"/>
        <w:color w:val="363636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4D4D67"/>
    <w:multiLevelType w:val="hybridMultilevel"/>
    <w:tmpl w:val="05F4CF7E"/>
    <w:lvl w:ilvl="0" w:tplc="71343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7F53"/>
    <w:multiLevelType w:val="multilevel"/>
    <w:tmpl w:val="D88AD83A"/>
    <w:lvl w:ilvl="0">
      <w:start w:val="5"/>
      <w:numFmt w:val="upperRoman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363636"/>
        <w:spacing w:val="1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48"/>
    <w:rsid w:val="001D0B52"/>
    <w:rsid w:val="00650D48"/>
    <w:rsid w:val="006D035B"/>
    <w:rsid w:val="006F6F5B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8C2B"/>
  <w15:docId w15:val="{2B43DB0A-8D09-4F2B-8A4E-BD4B23E9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vpt.de/fileadmin/documents/Muster_AP_Beschreibung-1.doc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Marre</dc:creator>
  <cp:lastModifiedBy>Silke Marre</cp:lastModifiedBy>
  <cp:revision>4</cp:revision>
  <dcterms:created xsi:type="dcterms:W3CDTF">2022-11-17T08:50:00Z</dcterms:created>
  <dcterms:modified xsi:type="dcterms:W3CDTF">2022-11-17T08:58:00Z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2022-11-17T08:06:22Z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e4cf5317-9827-43ab-999e-fefb699feefc</vt:lpwstr>
  </property>
  <property fmtid="{D5CDD505-2E9C-101B-9397-08002B2CF9AE}" pid="8" name="MSIP_Label_d3d538fd-7cd2-4b8b-bd42-f6ee8cc1e568_ContentBits">
    <vt:lpwstr>0</vt:lpwstr>
  </property>
</Properties>
</file>